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735"/>
      </w:tblGrid>
      <w:tr w:rsidR="3F24A705" w14:paraId="69853DC9" w14:textId="77777777" w:rsidTr="3F24A705">
        <w:trPr>
          <w:trHeight w:val="1125"/>
        </w:trPr>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2687C331" w14:textId="2D0ED782" w:rsidR="3F24A705" w:rsidRDefault="3F24A705" w:rsidP="3F24A705">
            <w:pPr>
              <w:widowControl w:val="0"/>
              <w:spacing w:line="360" w:lineRule="auto"/>
              <w:rPr>
                <w:rFonts w:ascii="Arial" w:eastAsia="Arial" w:hAnsi="Arial" w:cs="Arial"/>
                <w:color w:val="666666"/>
                <w:sz w:val="18"/>
                <w:szCs w:val="18"/>
              </w:rPr>
            </w:pPr>
          </w:p>
          <w:p w14:paraId="0F4E806B" w14:textId="7AC79BFE" w:rsidR="3F24A705" w:rsidRDefault="3F24A705" w:rsidP="3F24A705">
            <w:pPr>
              <w:spacing w:line="276" w:lineRule="auto"/>
              <w:rPr>
                <w:rFonts w:ascii="Arial" w:eastAsia="Arial" w:hAnsi="Arial" w:cs="Arial"/>
                <w:color w:val="999999"/>
                <w:sz w:val="16"/>
                <w:szCs w:val="16"/>
              </w:rPr>
            </w:pPr>
          </w:p>
        </w:tc>
        <w:tc>
          <w:tcPr>
            <w:tcW w:w="6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1265BB57" w14:textId="69E96713" w:rsidR="3F24A705" w:rsidRDefault="3F24A705" w:rsidP="3F24A705">
            <w:pPr>
              <w:widowControl w:val="0"/>
              <w:spacing w:line="276" w:lineRule="auto"/>
              <w:ind w:left="15"/>
              <w:jc w:val="right"/>
              <w:rPr>
                <w:rFonts w:ascii="Arial" w:eastAsia="Arial" w:hAnsi="Arial" w:cs="Arial"/>
                <w:color w:val="FFFFFF" w:themeColor="background1"/>
                <w:sz w:val="48"/>
                <w:szCs w:val="48"/>
              </w:rPr>
            </w:pPr>
          </w:p>
        </w:tc>
      </w:tr>
    </w:tbl>
    <w:p w14:paraId="366D0200" w14:textId="38D71EB8" w:rsidR="00557BAF" w:rsidRDefault="00557BAF" w:rsidP="3F24A705">
      <w:pPr>
        <w:widowControl w:val="0"/>
        <w:shd w:val="clear" w:color="auto" w:fill="9AA9A1"/>
        <w:spacing w:line="276" w:lineRule="auto"/>
        <w:ind w:left="15"/>
        <w:jc w:val="right"/>
        <w:rPr>
          <w:rFonts w:ascii="Arial" w:eastAsia="Arial" w:hAnsi="Arial" w:cs="Arial"/>
          <w:color w:val="666666"/>
          <w:sz w:val="48"/>
          <w:szCs w:val="48"/>
        </w:rPr>
      </w:pP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8550"/>
      </w:tblGrid>
      <w:tr w:rsidR="3F24A705" w14:paraId="786A478A" w14:textId="77777777" w:rsidTr="762997B1">
        <w:trPr>
          <w:trHeight w:val="2520"/>
        </w:trPr>
        <w:tc>
          <w:tcPr>
            <w:tcW w:w="450" w:type="dxa"/>
            <w:tcBorders>
              <w:top w:val="nil"/>
              <w:left w:val="nil"/>
              <w:bottom w:val="nil"/>
              <w:right w:val="nil"/>
            </w:tcBorders>
            <w:tcMar>
              <w:top w:w="90" w:type="dxa"/>
              <w:left w:w="90" w:type="dxa"/>
              <w:bottom w:w="90" w:type="dxa"/>
              <w:right w:w="90" w:type="dxa"/>
            </w:tcMar>
          </w:tcPr>
          <w:p w14:paraId="162EC6D8" w14:textId="419A2881" w:rsidR="3F24A705" w:rsidRDefault="3F24A705" w:rsidP="762997B1">
            <w:pPr>
              <w:widowControl w:val="0"/>
              <w:spacing w:line="259" w:lineRule="auto"/>
              <w:jc w:val="both"/>
              <w:rPr>
                <w:rFonts w:ascii="Arial Nova" w:eastAsia="Arial Nova" w:hAnsi="Arial Nova" w:cs="Arial Nova"/>
                <w:color w:val="000000" w:themeColor="text1"/>
                <w:sz w:val="20"/>
                <w:szCs w:val="20"/>
              </w:rPr>
            </w:pPr>
          </w:p>
        </w:tc>
        <w:tc>
          <w:tcPr>
            <w:tcW w:w="8550" w:type="dxa"/>
            <w:tcBorders>
              <w:top w:val="nil"/>
              <w:left w:val="nil"/>
              <w:bottom w:val="nil"/>
              <w:right w:val="nil"/>
            </w:tcBorders>
            <w:tcMar>
              <w:top w:w="90" w:type="dxa"/>
              <w:left w:w="90" w:type="dxa"/>
              <w:bottom w:w="90" w:type="dxa"/>
              <w:right w:w="90" w:type="dxa"/>
            </w:tcMar>
          </w:tcPr>
          <w:p w14:paraId="7F63A868" w14:textId="7E4684E7" w:rsidR="3F24A705" w:rsidRDefault="3F24A705" w:rsidP="762997B1">
            <w:pPr>
              <w:widowControl w:val="0"/>
              <w:spacing w:line="276" w:lineRule="auto"/>
              <w:ind w:left="708"/>
              <w:jc w:val="center"/>
              <w:rPr>
                <w:rFonts w:ascii="Arial Nova" w:eastAsia="Arial Nova" w:hAnsi="Arial Nova" w:cs="Arial Nova"/>
                <w:b/>
                <w:bCs/>
                <w:color w:val="000000" w:themeColor="text1"/>
                <w:sz w:val="28"/>
                <w:szCs w:val="28"/>
              </w:rPr>
            </w:pPr>
            <w:r w:rsidRPr="762997B1">
              <w:rPr>
                <w:rFonts w:ascii="Arial Nova" w:eastAsia="Arial Nova" w:hAnsi="Arial Nova" w:cs="Arial Nova"/>
                <w:b/>
                <w:bCs/>
                <w:color w:val="000000" w:themeColor="text1"/>
                <w:sz w:val="28"/>
                <w:szCs w:val="28"/>
              </w:rPr>
              <w:t xml:space="preserve">Chirey </w:t>
            </w:r>
            <w:r w:rsidR="69582A4F" w:rsidRPr="762997B1">
              <w:rPr>
                <w:rFonts w:ascii="Arial Nova" w:eastAsia="Arial Nova" w:hAnsi="Arial Nova" w:cs="Arial Nova"/>
                <w:b/>
                <w:bCs/>
                <w:color w:val="000000" w:themeColor="text1"/>
                <w:sz w:val="28"/>
                <w:szCs w:val="28"/>
              </w:rPr>
              <w:t>alcanza otro mes histórico en agosto: más de 21</w:t>
            </w:r>
            <w:r w:rsidR="28033901" w:rsidRPr="762997B1">
              <w:rPr>
                <w:rFonts w:ascii="Arial Nova" w:eastAsia="Arial Nova" w:hAnsi="Arial Nova" w:cs="Arial Nova"/>
                <w:b/>
                <w:bCs/>
                <w:color w:val="000000" w:themeColor="text1"/>
                <w:sz w:val="28"/>
                <w:szCs w:val="28"/>
              </w:rPr>
              <w:t>1</w:t>
            </w:r>
            <w:r w:rsidR="69582A4F" w:rsidRPr="762997B1">
              <w:rPr>
                <w:rFonts w:ascii="Arial Nova" w:eastAsia="Arial Nova" w:hAnsi="Arial Nova" w:cs="Arial Nova"/>
                <w:b/>
                <w:bCs/>
                <w:color w:val="000000" w:themeColor="text1"/>
                <w:sz w:val="28"/>
                <w:szCs w:val="28"/>
              </w:rPr>
              <w:t>,00</w:t>
            </w:r>
            <w:r w:rsidR="464EA1EF" w:rsidRPr="762997B1">
              <w:rPr>
                <w:rFonts w:ascii="Arial Nova" w:eastAsia="Arial Nova" w:hAnsi="Arial Nova" w:cs="Arial Nova"/>
                <w:b/>
                <w:bCs/>
                <w:color w:val="000000" w:themeColor="text1"/>
                <w:sz w:val="28"/>
                <w:szCs w:val="28"/>
              </w:rPr>
              <w:t xml:space="preserve">0 </w:t>
            </w:r>
            <w:r w:rsidR="69582A4F" w:rsidRPr="762997B1">
              <w:rPr>
                <w:rFonts w:ascii="Arial Nova" w:eastAsia="Arial Nova" w:hAnsi="Arial Nova" w:cs="Arial Nova"/>
                <w:b/>
                <w:bCs/>
                <w:color w:val="000000" w:themeColor="text1"/>
                <w:sz w:val="28"/>
                <w:szCs w:val="28"/>
              </w:rPr>
              <w:t xml:space="preserve">unidades vendidas a nivel mundial </w:t>
            </w:r>
            <w:r w:rsidRPr="762997B1">
              <w:rPr>
                <w:rFonts w:ascii="Arial Nova" w:eastAsia="Arial Nova" w:hAnsi="Arial Nova" w:cs="Arial Nova"/>
                <w:b/>
                <w:bCs/>
                <w:color w:val="000000" w:themeColor="text1"/>
                <w:sz w:val="28"/>
                <w:szCs w:val="28"/>
              </w:rPr>
              <w:t xml:space="preserve"> </w:t>
            </w:r>
          </w:p>
          <w:p w14:paraId="2D23AD4D" w14:textId="2863EC33" w:rsidR="762997B1" w:rsidRDefault="762997B1" w:rsidP="762997B1">
            <w:pPr>
              <w:widowControl w:val="0"/>
              <w:spacing w:line="276" w:lineRule="auto"/>
              <w:ind w:left="708"/>
              <w:jc w:val="center"/>
              <w:rPr>
                <w:rFonts w:ascii="Arial Nova" w:eastAsia="Arial Nova" w:hAnsi="Arial Nova" w:cs="Arial Nova"/>
                <w:b/>
                <w:bCs/>
                <w:color w:val="000000" w:themeColor="text1"/>
                <w:sz w:val="32"/>
                <w:szCs w:val="32"/>
              </w:rPr>
            </w:pPr>
          </w:p>
          <w:p w14:paraId="1CDEADB4" w14:textId="767E538B" w:rsidR="3F24A705" w:rsidRDefault="3F24A705" w:rsidP="762997B1">
            <w:pPr>
              <w:widowControl w:val="0"/>
              <w:spacing w:line="276" w:lineRule="auto"/>
              <w:jc w:val="center"/>
              <w:rPr>
                <w:rFonts w:ascii="Arial Nova" w:eastAsia="Arial Nova" w:hAnsi="Arial Nova" w:cs="Arial Nova"/>
                <w:color w:val="000000" w:themeColor="text1"/>
                <w:sz w:val="22"/>
                <w:szCs w:val="22"/>
              </w:rPr>
            </w:pPr>
          </w:p>
          <w:p w14:paraId="637C1595" w14:textId="4487C9E5" w:rsidR="3F24A705" w:rsidRDefault="72FCA100" w:rsidP="762997B1">
            <w:pPr>
              <w:pStyle w:val="Prrafodelista"/>
              <w:widowControl w:val="0"/>
              <w:numPr>
                <w:ilvl w:val="0"/>
                <w:numId w:val="2"/>
              </w:numPr>
              <w:spacing w:line="276" w:lineRule="auto"/>
              <w:rPr>
                <w:rFonts w:ascii="Arial Nova" w:eastAsia="Arial Nova" w:hAnsi="Arial Nova" w:cs="Arial Nova"/>
                <w:i/>
                <w:iCs/>
                <w:color w:val="000000" w:themeColor="text1"/>
                <w:sz w:val="22"/>
                <w:szCs w:val="22"/>
              </w:rPr>
            </w:pPr>
            <w:r w:rsidRPr="762997B1">
              <w:rPr>
                <w:rFonts w:ascii="Arial Nova" w:eastAsia="Arial Nova" w:hAnsi="Arial Nova" w:cs="Arial Nova"/>
                <w:i/>
                <w:iCs/>
                <w:color w:val="000000" w:themeColor="text1"/>
                <w:sz w:val="22"/>
                <w:szCs w:val="22"/>
              </w:rPr>
              <w:t>La marca china de alcance global acumula 1,508</w:t>
            </w:r>
            <w:r w:rsidR="00967A1C">
              <w:rPr>
                <w:rFonts w:ascii="Arial Nova" w:eastAsia="Arial Nova" w:hAnsi="Arial Nova" w:cs="Arial Nova"/>
                <w:i/>
                <w:iCs/>
                <w:color w:val="000000" w:themeColor="text1"/>
                <w:sz w:val="22"/>
                <w:szCs w:val="22"/>
              </w:rPr>
              <w:t>,</w:t>
            </w:r>
            <w:r w:rsidRPr="762997B1">
              <w:rPr>
                <w:rFonts w:ascii="Arial Nova" w:eastAsia="Arial Nova" w:hAnsi="Arial Nova" w:cs="Arial Nova"/>
                <w:i/>
                <w:iCs/>
                <w:color w:val="000000" w:themeColor="text1"/>
                <w:sz w:val="22"/>
                <w:szCs w:val="22"/>
              </w:rPr>
              <w:t>259 unidades vendidas durante el 2024, lo que representa un aumento interanual del 4</w:t>
            </w:r>
            <w:r w:rsidR="6A087F9D" w:rsidRPr="762997B1">
              <w:rPr>
                <w:rFonts w:ascii="Arial Nova" w:eastAsia="Arial Nova" w:hAnsi="Arial Nova" w:cs="Arial Nova"/>
                <w:i/>
                <w:iCs/>
                <w:color w:val="000000" w:themeColor="text1"/>
                <w:sz w:val="22"/>
                <w:szCs w:val="22"/>
              </w:rPr>
              <w:t xml:space="preserve">1.9%. </w:t>
            </w:r>
          </w:p>
        </w:tc>
      </w:tr>
      <w:tr w:rsidR="762997B1" w14:paraId="64C24128" w14:textId="77777777" w:rsidTr="762997B1">
        <w:trPr>
          <w:trHeight w:val="615"/>
        </w:trPr>
        <w:tc>
          <w:tcPr>
            <w:tcW w:w="450" w:type="dxa"/>
            <w:tcBorders>
              <w:top w:val="nil"/>
              <w:left w:val="nil"/>
              <w:bottom w:val="nil"/>
              <w:right w:val="nil"/>
            </w:tcBorders>
            <w:tcMar>
              <w:top w:w="90" w:type="dxa"/>
              <w:left w:w="90" w:type="dxa"/>
              <w:bottom w:w="90" w:type="dxa"/>
              <w:right w:w="90" w:type="dxa"/>
            </w:tcMar>
          </w:tcPr>
          <w:p w14:paraId="286829D8" w14:textId="2EA167A0" w:rsidR="762997B1" w:rsidRDefault="762997B1" w:rsidP="762997B1">
            <w:pPr>
              <w:spacing w:line="259" w:lineRule="auto"/>
              <w:jc w:val="both"/>
              <w:rPr>
                <w:rFonts w:ascii="Arial Nova" w:eastAsia="Arial Nova" w:hAnsi="Arial Nova" w:cs="Arial Nova"/>
                <w:color w:val="000000" w:themeColor="text1"/>
                <w:sz w:val="20"/>
                <w:szCs w:val="20"/>
              </w:rPr>
            </w:pPr>
          </w:p>
        </w:tc>
        <w:tc>
          <w:tcPr>
            <w:tcW w:w="8550" w:type="dxa"/>
            <w:tcBorders>
              <w:top w:val="nil"/>
              <w:left w:val="nil"/>
              <w:bottom w:val="nil"/>
              <w:right w:val="nil"/>
            </w:tcBorders>
            <w:tcMar>
              <w:top w:w="90" w:type="dxa"/>
              <w:left w:w="90" w:type="dxa"/>
              <w:bottom w:w="90" w:type="dxa"/>
              <w:right w:w="90" w:type="dxa"/>
            </w:tcMar>
          </w:tcPr>
          <w:p w14:paraId="3ACD91E2" w14:textId="582949A7" w:rsidR="762997B1" w:rsidRDefault="762997B1" w:rsidP="762997B1">
            <w:pPr>
              <w:spacing w:line="276" w:lineRule="auto"/>
              <w:jc w:val="center"/>
              <w:rPr>
                <w:rFonts w:ascii="Arial Nova" w:eastAsia="Arial Nova" w:hAnsi="Arial Nova" w:cs="Arial Nova"/>
                <w:b/>
                <w:bCs/>
                <w:color w:val="000000" w:themeColor="text1"/>
                <w:sz w:val="32"/>
                <w:szCs w:val="32"/>
              </w:rPr>
            </w:pPr>
          </w:p>
        </w:tc>
      </w:tr>
    </w:tbl>
    <w:p w14:paraId="27ED7887" w14:textId="24D97EFF" w:rsidR="3F24A705" w:rsidRDefault="627F5DBF" w:rsidP="11AF0A87">
      <w:pPr>
        <w:spacing w:after="0"/>
        <w:jc w:val="both"/>
        <w:rPr>
          <w:rFonts w:ascii="Arial" w:eastAsia="Arial" w:hAnsi="Arial" w:cs="Arial"/>
          <w:color w:val="000000" w:themeColor="text1"/>
          <w:sz w:val="22"/>
          <w:szCs w:val="22"/>
        </w:rPr>
      </w:pPr>
      <w:r w:rsidRPr="11AF0A87">
        <w:rPr>
          <w:rFonts w:ascii="Arial Nova" w:eastAsia="Arial Nova" w:hAnsi="Arial Nova" w:cs="Arial Nova"/>
          <w:b/>
          <w:bCs/>
          <w:color w:val="000000" w:themeColor="text1"/>
          <w:sz w:val="22"/>
          <w:szCs w:val="22"/>
        </w:rPr>
        <w:t xml:space="preserve">Ciudad de México, </w:t>
      </w:r>
      <w:r w:rsidR="34AF670B" w:rsidRPr="11AF0A87">
        <w:rPr>
          <w:rFonts w:ascii="Arial Nova" w:eastAsia="Arial Nova" w:hAnsi="Arial Nova" w:cs="Arial Nova"/>
          <w:b/>
          <w:bCs/>
          <w:color w:val="000000" w:themeColor="text1"/>
          <w:sz w:val="22"/>
          <w:szCs w:val="22"/>
        </w:rPr>
        <w:t xml:space="preserve">17 </w:t>
      </w:r>
      <w:r w:rsidRPr="11AF0A87">
        <w:rPr>
          <w:rFonts w:ascii="Arial Nova" w:eastAsia="Arial Nova" w:hAnsi="Arial Nova" w:cs="Arial Nova"/>
          <w:b/>
          <w:bCs/>
          <w:color w:val="000000" w:themeColor="text1"/>
          <w:sz w:val="22"/>
          <w:szCs w:val="22"/>
        </w:rPr>
        <w:t>de septiembre de 2024.-</w:t>
      </w:r>
      <w:r w:rsidR="559B1527" w:rsidRPr="11AF0A87">
        <w:rPr>
          <w:rFonts w:ascii="Arial Nova" w:eastAsia="Arial Nova" w:hAnsi="Arial Nova" w:cs="Arial Nova"/>
          <w:b/>
          <w:bCs/>
          <w:color w:val="000000" w:themeColor="text1"/>
          <w:sz w:val="22"/>
          <w:szCs w:val="22"/>
        </w:rPr>
        <w:t xml:space="preserve"> </w:t>
      </w:r>
      <w:r w:rsidR="559B1527" w:rsidRPr="11AF0A87">
        <w:rPr>
          <w:rFonts w:ascii="Arial" w:eastAsia="Arial" w:hAnsi="Arial" w:cs="Arial"/>
          <w:color w:val="000000" w:themeColor="text1"/>
          <w:sz w:val="22"/>
          <w:szCs w:val="22"/>
        </w:rPr>
        <w:t>Chery Holding Group (</w:t>
      </w:r>
      <w:hyperlink r:id="rId8">
        <w:r w:rsidR="559B1527" w:rsidRPr="11AF0A87">
          <w:rPr>
            <w:rStyle w:val="Hipervnculo"/>
            <w:rFonts w:ascii="Arial" w:eastAsia="Arial" w:hAnsi="Arial" w:cs="Arial"/>
            <w:sz w:val="22"/>
            <w:szCs w:val="22"/>
          </w:rPr>
          <w:t>Chirey</w:t>
        </w:r>
      </w:hyperlink>
      <w:r w:rsidR="559B1527" w:rsidRPr="11AF0A87">
        <w:rPr>
          <w:rFonts w:ascii="Arial" w:eastAsia="Arial" w:hAnsi="Arial" w:cs="Arial"/>
          <w:color w:val="000000" w:themeColor="text1"/>
          <w:sz w:val="22"/>
          <w:szCs w:val="22"/>
        </w:rPr>
        <w:t xml:space="preserve">) sumó otro capítulo histórico al reportar en agosto ventas a nivel mundial de 211,879 vehículos, lo que representa un aumento interanual del 23.7%. Este hito incluye la venta de 46,526 vehículos de nueva energía (NEV), con un notable crecimiento del 158.5% en comparación con el año anterior, y 97,866 vehículos exportados, cuyo incremento es del 12.7% respecto a 2023. </w:t>
      </w:r>
    </w:p>
    <w:p w14:paraId="6BAD70B4" w14:textId="04714EB1" w:rsidR="3F24A705" w:rsidRDefault="3F24A705" w:rsidP="762997B1">
      <w:pPr>
        <w:spacing w:after="0"/>
        <w:jc w:val="both"/>
        <w:rPr>
          <w:rFonts w:ascii="Arial" w:eastAsia="Arial" w:hAnsi="Arial" w:cs="Arial"/>
          <w:color w:val="000000" w:themeColor="text1"/>
          <w:sz w:val="22"/>
          <w:szCs w:val="22"/>
        </w:rPr>
      </w:pPr>
    </w:p>
    <w:p w14:paraId="364ED94E" w14:textId="2354A1DF" w:rsidR="3F24A705" w:rsidRDefault="559B1527" w:rsidP="762997B1">
      <w:pPr>
        <w:spacing w:after="0"/>
        <w:jc w:val="both"/>
        <w:rPr>
          <w:rFonts w:ascii="Arial" w:eastAsia="Arial" w:hAnsi="Arial" w:cs="Arial"/>
          <w:color w:val="000000" w:themeColor="text1"/>
          <w:sz w:val="22"/>
          <w:szCs w:val="22"/>
        </w:rPr>
      </w:pPr>
      <w:r w:rsidRPr="762997B1">
        <w:rPr>
          <w:rFonts w:ascii="Arial" w:eastAsia="Arial" w:hAnsi="Arial" w:cs="Arial"/>
          <w:color w:val="000000" w:themeColor="text1"/>
          <w:sz w:val="22"/>
          <w:szCs w:val="22"/>
        </w:rPr>
        <w:t>Lo que va del 2024</w:t>
      </w:r>
      <w:r w:rsidR="72A3797D" w:rsidRPr="762997B1">
        <w:rPr>
          <w:rFonts w:ascii="Arial" w:eastAsia="Arial" w:hAnsi="Arial" w:cs="Arial"/>
          <w:color w:val="000000" w:themeColor="text1"/>
          <w:sz w:val="22"/>
          <w:szCs w:val="22"/>
        </w:rPr>
        <w:t xml:space="preserve">, la firma automotriz china </w:t>
      </w:r>
      <w:r w:rsidR="23CCCA67" w:rsidRPr="762997B1">
        <w:rPr>
          <w:rFonts w:ascii="Arial" w:eastAsia="Arial" w:hAnsi="Arial" w:cs="Arial"/>
          <w:color w:val="000000" w:themeColor="text1"/>
          <w:sz w:val="22"/>
          <w:szCs w:val="22"/>
        </w:rPr>
        <w:t xml:space="preserve">consolida su liderazgo de la industria </w:t>
      </w:r>
      <w:r w:rsidR="72A3797D" w:rsidRPr="762997B1">
        <w:rPr>
          <w:rFonts w:ascii="Arial" w:eastAsia="Arial" w:hAnsi="Arial" w:cs="Arial"/>
          <w:color w:val="000000" w:themeColor="text1"/>
          <w:sz w:val="22"/>
          <w:szCs w:val="22"/>
        </w:rPr>
        <w:t xml:space="preserve">en tecnología e innovación. </w:t>
      </w:r>
      <w:r w:rsidRPr="762997B1">
        <w:rPr>
          <w:rFonts w:ascii="Arial" w:eastAsia="Arial" w:hAnsi="Arial" w:cs="Arial"/>
          <w:color w:val="000000" w:themeColor="text1"/>
          <w:sz w:val="22"/>
          <w:szCs w:val="22"/>
        </w:rPr>
        <w:t xml:space="preserve">De enero a agosto, Grupo Chery alcanzó 1,508,259 unidades vendidas, </w:t>
      </w:r>
      <w:r w:rsidR="0AE60A1F" w:rsidRPr="762997B1">
        <w:rPr>
          <w:rFonts w:ascii="Arial" w:eastAsia="Arial" w:hAnsi="Arial" w:cs="Arial"/>
          <w:color w:val="000000" w:themeColor="text1"/>
          <w:sz w:val="22"/>
          <w:szCs w:val="22"/>
        </w:rPr>
        <w:t xml:space="preserve">registrando </w:t>
      </w:r>
      <w:r w:rsidRPr="762997B1">
        <w:rPr>
          <w:rFonts w:ascii="Arial" w:eastAsia="Arial" w:hAnsi="Arial" w:cs="Arial"/>
          <w:color w:val="000000" w:themeColor="text1"/>
          <w:sz w:val="22"/>
          <w:szCs w:val="22"/>
        </w:rPr>
        <w:t>un aumento interanual del 41.9%. Sólo en agosto, la marca comercializó 131,734 unidades y acumuló 961,624 unidades de enero a agosto, lo que refleja un incremento del 34</w:t>
      </w:r>
      <w:r w:rsidR="00967A1C">
        <w:rPr>
          <w:rFonts w:ascii="Arial" w:eastAsia="Arial" w:hAnsi="Arial" w:cs="Arial"/>
          <w:color w:val="000000" w:themeColor="text1"/>
          <w:sz w:val="22"/>
          <w:szCs w:val="22"/>
        </w:rPr>
        <w:t>.</w:t>
      </w:r>
      <w:r w:rsidRPr="762997B1">
        <w:rPr>
          <w:rFonts w:ascii="Arial" w:eastAsia="Arial" w:hAnsi="Arial" w:cs="Arial"/>
          <w:color w:val="000000" w:themeColor="text1"/>
          <w:sz w:val="22"/>
          <w:szCs w:val="22"/>
        </w:rPr>
        <w:t xml:space="preserve">8% respecto al mismo periodo del año anterior. </w:t>
      </w:r>
    </w:p>
    <w:p w14:paraId="51D0680A" w14:textId="33D2943E" w:rsidR="3F24A705" w:rsidRDefault="559B1527" w:rsidP="11AF0A87">
      <w:pPr>
        <w:spacing w:before="240" w:after="240"/>
        <w:jc w:val="both"/>
        <w:rPr>
          <w:rFonts w:ascii="Arial" w:eastAsia="Arial" w:hAnsi="Arial" w:cs="Arial"/>
          <w:i/>
          <w:iCs/>
          <w:color w:val="000000" w:themeColor="text1"/>
          <w:sz w:val="22"/>
          <w:szCs w:val="22"/>
        </w:rPr>
      </w:pPr>
      <w:r w:rsidRPr="11AF0A87">
        <w:rPr>
          <w:rFonts w:ascii="Arial" w:eastAsia="Arial" w:hAnsi="Arial" w:cs="Arial"/>
          <w:i/>
          <w:iCs/>
          <w:color w:val="000000" w:themeColor="text1"/>
          <w:sz w:val="22"/>
          <w:szCs w:val="22"/>
        </w:rPr>
        <w:t>“</w:t>
      </w:r>
      <w:r w:rsidR="24E0FEE8" w:rsidRPr="11AF0A87">
        <w:rPr>
          <w:rFonts w:ascii="Arial" w:eastAsia="Arial" w:hAnsi="Arial" w:cs="Arial"/>
          <w:i/>
          <w:iCs/>
          <w:color w:val="000000" w:themeColor="text1"/>
          <w:sz w:val="22"/>
          <w:szCs w:val="22"/>
        </w:rPr>
        <w:t xml:space="preserve">Nuestra </w:t>
      </w:r>
      <w:r w:rsidRPr="11AF0A87">
        <w:rPr>
          <w:rFonts w:ascii="Arial" w:eastAsia="Arial" w:hAnsi="Arial" w:cs="Arial"/>
          <w:i/>
          <w:iCs/>
          <w:color w:val="000000" w:themeColor="text1"/>
          <w:sz w:val="22"/>
          <w:szCs w:val="22"/>
        </w:rPr>
        <w:t xml:space="preserve">apuesta en tecnología de última generación y </w:t>
      </w:r>
      <w:r w:rsidR="1D700A2D" w:rsidRPr="11AF0A87">
        <w:rPr>
          <w:rFonts w:ascii="Arial" w:eastAsia="Arial" w:hAnsi="Arial" w:cs="Arial"/>
          <w:i/>
          <w:iCs/>
          <w:color w:val="000000" w:themeColor="text1"/>
          <w:sz w:val="22"/>
          <w:szCs w:val="22"/>
        </w:rPr>
        <w:t xml:space="preserve">un enfoque </w:t>
      </w:r>
      <w:r w:rsidRPr="11AF0A87">
        <w:rPr>
          <w:rFonts w:ascii="Arial" w:eastAsia="Arial" w:hAnsi="Arial" w:cs="Arial"/>
          <w:i/>
          <w:iCs/>
          <w:color w:val="000000" w:themeColor="text1"/>
          <w:sz w:val="22"/>
          <w:szCs w:val="22"/>
        </w:rPr>
        <w:t>centrado al usuario ha</w:t>
      </w:r>
      <w:r w:rsidR="13B10A1C" w:rsidRPr="11AF0A87">
        <w:rPr>
          <w:rFonts w:ascii="Arial" w:eastAsia="Arial" w:hAnsi="Arial" w:cs="Arial"/>
          <w:i/>
          <w:iCs/>
          <w:color w:val="000000" w:themeColor="text1"/>
          <w:sz w:val="22"/>
          <w:szCs w:val="22"/>
        </w:rPr>
        <w:t xml:space="preserve"> generado </w:t>
      </w:r>
      <w:r w:rsidRPr="11AF0A87">
        <w:rPr>
          <w:rFonts w:ascii="Arial" w:eastAsia="Arial" w:hAnsi="Arial" w:cs="Arial"/>
          <w:i/>
          <w:iCs/>
          <w:color w:val="000000" w:themeColor="text1"/>
          <w:sz w:val="22"/>
          <w:szCs w:val="22"/>
        </w:rPr>
        <w:t xml:space="preserve">cifras </w:t>
      </w:r>
      <w:r w:rsidR="7D9AD7E0" w:rsidRPr="11AF0A87">
        <w:rPr>
          <w:rFonts w:ascii="Arial" w:eastAsia="Arial" w:hAnsi="Arial" w:cs="Arial"/>
          <w:i/>
          <w:iCs/>
          <w:color w:val="000000" w:themeColor="text1"/>
          <w:sz w:val="22"/>
          <w:szCs w:val="22"/>
        </w:rPr>
        <w:t xml:space="preserve">muy positivas </w:t>
      </w:r>
      <w:r w:rsidRPr="11AF0A87">
        <w:rPr>
          <w:rFonts w:ascii="Arial" w:eastAsia="Arial" w:hAnsi="Arial" w:cs="Arial"/>
          <w:i/>
          <w:iCs/>
          <w:color w:val="000000" w:themeColor="text1"/>
          <w:sz w:val="22"/>
          <w:szCs w:val="22"/>
        </w:rPr>
        <w:t xml:space="preserve">en nuestras ventas mundiales </w:t>
      </w:r>
      <w:r w:rsidR="3F84421F" w:rsidRPr="11AF0A87">
        <w:rPr>
          <w:rFonts w:ascii="Arial" w:eastAsia="Arial" w:hAnsi="Arial" w:cs="Arial"/>
          <w:i/>
          <w:iCs/>
          <w:color w:val="000000" w:themeColor="text1"/>
          <w:sz w:val="22"/>
          <w:szCs w:val="22"/>
        </w:rPr>
        <w:t>de los últimos meses</w:t>
      </w:r>
      <w:r w:rsidRPr="11AF0A87">
        <w:rPr>
          <w:rFonts w:ascii="Arial" w:eastAsia="Arial" w:hAnsi="Arial" w:cs="Arial"/>
          <w:i/>
          <w:iCs/>
          <w:color w:val="000000" w:themeColor="text1"/>
          <w:sz w:val="22"/>
          <w:szCs w:val="22"/>
        </w:rPr>
        <w:t xml:space="preserve">. </w:t>
      </w:r>
      <w:r w:rsidR="7EABD58C" w:rsidRPr="11AF0A87">
        <w:rPr>
          <w:rFonts w:ascii="Arial" w:eastAsia="Arial" w:hAnsi="Arial" w:cs="Arial"/>
          <w:i/>
          <w:iCs/>
          <w:color w:val="000000" w:themeColor="text1"/>
          <w:sz w:val="22"/>
          <w:szCs w:val="22"/>
        </w:rPr>
        <w:t>G</w:t>
      </w:r>
      <w:r w:rsidR="73A46C4E" w:rsidRPr="11AF0A87">
        <w:rPr>
          <w:rFonts w:ascii="Arial" w:eastAsia="Arial" w:hAnsi="Arial" w:cs="Arial"/>
          <w:i/>
          <w:iCs/>
          <w:color w:val="000000" w:themeColor="text1"/>
          <w:sz w:val="22"/>
          <w:szCs w:val="22"/>
        </w:rPr>
        <w:t>racias a l</w:t>
      </w:r>
      <w:r w:rsidRPr="11AF0A87">
        <w:rPr>
          <w:rFonts w:ascii="Arial" w:eastAsia="Arial" w:hAnsi="Arial" w:cs="Arial"/>
          <w:i/>
          <w:iCs/>
          <w:color w:val="000000" w:themeColor="text1"/>
          <w:sz w:val="22"/>
          <w:szCs w:val="22"/>
        </w:rPr>
        <w:t>as capacidades tecnológicas de Tech Chery</w:t>
      </w:r>
      <w:r w:rsidR="571B196A" w:rsidRPr="11AF0A87">
        <w:rPr>
          <w:rFonts w:ascii="Arial" w:eastAsia="Arial" w:hAnsi="Arial" w:cs="Arial"/>
          <w:i/>
          <w:iCs/>
          <w:color w:val="000000" w:themeColor="text1"/>
          <w:sz w:val="22"/>
          <w:szCs w:val="22"/>
        </w:rPr>
        <w:t xml:space="preserve">, hemos desarrollado </w:t>
      </w:r>
      <w:r w:rsidRPr="11AF0A87">
        <w:rPr>
          <w:rFonts w:ascii="Arial" w:eastAsia="Arial" w:hAnsi="Arial" w:cs="Arial"/>
          <w:i/>
          <w:iCs/>
          <w:color w:val="000000" w:themeColor="text1"/>
          <w:sz w:val="22"/>
          <w:szCs w:val="22"/>
        </w:rPr>
        <w:t xml:space="preserve">vehículos que </w:t>
      </w:r>
      <w:r w:rsidR="0F617821" w:rsidRPr="11AF0A87">
        <w:rPr>
          <w:rFonts w:ascii="Arial" w:eastAsia="Arial" w:hAnsi="Arial" w:cs="Arial"/>
          <w:i/>
          <w:iCs/>
          <w:color w:val="000000" w:themeColor="text1"/>
          <w:sz w:val="22"/>
          <w:szCs w:val="22"/>
        </w:rPr>
        <w:t>combinan c</w:t>
      </w:r>
      <w:r w:rsidRPr="11AF0A87">
        <w:rPr>
          <w:rFonts w:ascii="Arial" w:eastAsia="Arial" w:hAnsi="Arial" w:cs="Arial"/>
          <w:i/>
          <w:iCs/>
          <w:color w:val="000000" w:themeColor="text1"/>
          <w:sz w:val="22"/>
          <w:szCs w:val="22"/>
        </w:rPr>
        <w:t>ombustión interna y electricidad</w:t>
      </w:r>
      <w:r w:rsidR="32A800AE" w:rsidRPr="11AF0A87">
        <w:rPr>
          <w:rFonts w:ascii="Arial" w:eastAsia="Arial" w:hAnsi="Arial" w:cs="Arial"/>
          <w:i/>
          <w:iCs/>
          <w:color w:val="000000" w:themeColor="text1"/>
          <w:sz w:val="22"/>
          <w:szCs w:val="22"/>
        </w:rPr>
        <w:t xml:space="preserve">, ofreciendo </w:t>
      </w:r>
      <w:r w:rsidRPr="11AF0A87">
        <w:rPr>
          <w:rFonts w:ascii="Arial" w:eastAsia="Arial" w:hAnsi="Arial" w:cs="Arial"/>
          <w:i/>
          <w:iCs/>
          <w:color w:val="000000" w:themeColor="text1"/>
          <w:sz w:val="22"/>
          <w:szCs w:val="22"/>
        </w:rPr>
        <w:t xml:space="preserve">soluciones de movilidad adaptadas a los distintos mercados y </w:t>
      </w:r>
      <w:r w:rsidR="5CE77AF8" w:rsidRPr="11AF0A87">
        <w:rPr>
          <w:rFonts w:ascii="Arial" w:eastAsia="Arial" w:hAnsi="Arial" w:cs="Arial"/>
          <w:i/>
          <w:iCs/>
          <w:color w:val="000000" w:themeColor="text1"/>
          <w:sz w:val="22"/>
          <w:szCs w:val="22"/>
        </w:rPr>
        <w:t xml:space="preserve">cambiantes </w:t>
      </w:r>
      <w:r w:rsidRPr="11AF0A87">
        <w:rPr>
          <w:rFonts w:ascii="Arial" w:eastAsia="Arial" w:hAnsi="Arial" w:cs="Arial"/>
          <w:i/>
          <w:iCs/>
          <w:color w:val="000000" w:themeColor="text1"/>
          <w:sz w:val="22"/>
          <w:szCs w:val="22"/>
        </w:rPr>
        <w:t xml:space="preserve">necesidades de los usuarios. </w:t>
      </w:r>
      <w:r w:rsidR="2B02CB8D" w:rsidRPr="11AF0A87">
        <w:rPr>
          <w:rFonts w:ascii="Arial" w:eastAsia="Arial" w:hAnsi="Arial" w:cs="Arial"/>
          <w:i/>
          <w:iCs/>
          <w:color w:val="000000" w:themeColor="text1"/>
          <w:sz w:val="22"/>
          <w:szCs w:val="22"/>
        </w:rPr>
        <w:t>N</w:t>
      </w:r>
      <w:r w:rsidRPr="11AF0A87">
        <w:rPr>
          <w:rFonts w:ascii="Arial" w:eastAsia="Arial" w:hAnsi="Arial" w:cs="Arial"/>
          <w:i/>
          <w:iCs/>
          <w:color w:val="000000" w:themeColor="text1"/>
          <w:sz w:val="22"/>
          <w:szCs w:val="22"/>
        </w:rPr>
        <w:t xml:space="preserve">os </w:t>
      </w:r>
      <w:r w:rsidR="2B02CB8D" w:rsidRPr="11AF0A87">
        <w:rPr>
          <w:rFonts w:ascii="Arial" w:eastAsia="Arial" w:hAnsi="Arial" w:cs="Arial"/>
          <w:i/>
          <w:iCs/>
          <w:color w:val="000000" w:themeColor="text1"/>
          <w:sz w:val="22"/>
          <w:szCs w:val="22"/>
        </w:rPr>
        <w:t xml:space="preserve">llena de orgullo compartir </w:t>
      </w:r>
      <w:r w:rsidR="03F83EEB" w:rsidRPr="11AF0A87">
        <w:rPr>
          <w:rFonts w:ascii="Arial" w:eastAsia="Arial" w:hAnsi="Arial" w:cs="Arial"/>
          <w:i/>
          <w:iCs/>
          <w:color w:val="000000" w:themeColor="text1"/>
          <w:sz w:val="22"/>
          <w:szCs w:val="22"/>
        </w:rPr>
        <w:t xml:space="preserve">que </w:t>
      </w:r>
      <w:r w:rsidR="2B02CB8D" w:rsidRPr="11AF0A87">
        <w:rPr>
          <w:rFonts w:ascii="Arial" w:eastAsia="Arial" w:hAnsi="Arial" w:cs="Arial"/>
          <w:i/>
          <w:iCs/>
          <w:color w:val="000000" w:themeColor="text1"/>
          <w:sz w:val="22"/>
          <w:szCs w:val="22"/>
        </w:rPr>
        <w:t xml:space="preserve">hemos </w:t>
      </w:r>
      <w:r w:rsidR="10EC06E8" w:rsidRPr="11AF0A87">
        <w:rPr>
          <w:rFonts w:ascii="Arial" w:eastAsia="Arial" w:hAnsi="Arial" w:cs="Arial"/>
          <w:i/>
          <w:iCs/>
          <w:color w:val="000000" w:themeColor="text1"/>
          <w:sz w:val="22"/>
          <w:szCs w:val="22"/>
        </w:rPr>
        <w:t>experimentado</w:t>
      </w:r>
      <w:r w:rsidRPr="11AF0A87">
        <w:rPr>
          <w:rFonts w:ascii="Arial" w:eastAsia="Arial" w:hAnsi="Arial" w:cs="Arial"/>
          <w:i/>
          <w:iCs/>
          <w:color w:val="000000" w:themeColor="text1"/>
          <w:sz w:val="22"/>
          <w:szCs w:val="22"/>
        </w:rPr>
        <w:t xml:space="preserve"> un crecimiento integral en nuestras cuatro áreas clave: vehículos de nueva energía, combustión, así como los nacionales e internacionales”</w:t>
      </w:r>
      <w:r w:rsidR="1B2BDF49" w:rsidRPr="11AF0A87">
        <w:rPr>
          <w:rFonts w:ascii="Arial" w:eastAsia="Arial" w:hAnsi="Arial" w:cs="Arial"/>
          <w:i/>
          <w:iCs/>
          <w:color w:val="000000" w:themeColor="text1"/>
          <w:sz w:val="22"/>
          <w:szCs w:val="22"/>
        </w:rPr>
        <w:t xml:space="preserve">, </w:t>
      </w:r>
      <w:r w:rsidR="241C15CB" w:rsidRPr="11AF0A87">
        <w:rPr>
          <w:rFonts w:ascii="Arial" w:eastAsia="Arial" w:hAnsi="Arial" w:cs="Arial"/>
          <w:color w:val="000000" w:themeColor="text1"/>
          <w:sz w:val="22"/>
          <w:szCs w:val="22"/>
        </w:rPr>
        <w:t>dijo</w:t>
      </w:r>
      <w:r w:rsidR="241C15CB" w:rsidRPr="11AF0A87">
        <w:rPr>
          <w:rFonts w:ascii="Arial" w:eastAsia="Arial" w:hAnsi="Arial" w:cs="Arial"/>
          <w:i/>
          <w:iCs/>
          <w:color w:val="000000" w:themeColor="text1"/>
          <w:sz w:val="22"/>
          <w:szCs w:val="22"/>
        </w:rPr>
        <w:t xml:space="preserve"> </w:t>
      </w:r>
      <w:r w:rsidR="241C15CB" w:rsidRPr="11AF0A87">
        <w:rPr>
          <w:rFonts w:ascii="Arial" w:eastAsia="Arial" w:hAnsi="Arial" w:cs="Arial"/>
          <w:sz w:val="22"/>
          <w:szCs w:val="22"/>
        </w:rPr>
        <w:t xml:space="preserve">Alex Lee, vicepresidente de Chirey México. </w:t>
      </w:r>
      <w:r w:rsidR="1B2BDF49" w:rsidRPr="11AF0A87">
        <w:rPr>
          <w:rFonts w:ascii="Arial" w:eastAsia="Arial" w:hAnsi="Arial" w:cs="Arial"/>
          <w:color w:val="000000" w:themeColor="text1"/>
          <w:sz w:val="22"/>
          <w:szCs w:val="22"/>
        </w:rPr>
        <w:t xml:space="preserve"> </w:t>
      </w:r>
    </w:p>
    <w:p w14:paraId="5883EE35" w14:textId="365624DD" w:rsidR="3F24A705" w:rsidRDefault="559B1527" w:rsidP="762997B1">
      <w:pPr>
        <w:spacing w:before="240" w:after="240"/>
        <w:jc w:val="both"/>
        <w:rPr>
          <w:rFonts w:ascii="Arial" w:eastAsia="Arial" w:hAnsi="Arial" w:cs="Arial"/>
          <w:color w:val="05073B"/>
          <w:sz w:val="22"/>
          <w:szCs w:val="22"/>
        </w:rPr>
      </w:pPr>
      <w:r w:rsidRPr="762997B1">
        <w:rPr>
          <w:rFonts w:ascii="Arial" w:eastAsia="Arial" w:hAnsi="Arial" w:cs="Arial"/>
          <w:color w:val="000000" w:themeColor="text1"/>
          <w:sz w:val="22"/>
          <w:szCs w:val="22"/>
        </w:rPr>
        <w:t xml:space="preserve">Entre enero y agosto, las ventas internacionales de Chirey alcanzaron las 720,305 unidades, dando como resultado un crecimiento interanual del 25.2%. Los vehículos de combustión registraron 1,235,412 unidades vendidas, un incremento del 27.6% en </w:t>
      </w:r>
      <w:r w:rsidR="6BFCD4B0" w:rsidRPr="762997B1">
        <w:rPr>
          <w:rFonts w:ascii="Arial" w:eastAsia="Arial" w:hAnsi="Arial" w:cs="Arial"/>
          <w:color w:val="000000" w:themeColor="text1"/>
          <w:sz w:val="22"/>
          <w:szCs w:val="22"/>
        </w:rPr>
        <w:t>respecto a</w:t>
      </w:r>
      <w:r w:rsidRPr="762997B1">
        <w:rPr>
          <w:rFonts w:ascii="Arial" w:eastAsia="Arial" w:hAnsi="Arial" w:cs="Arial"/>
          <w:color w:val="000000" w:themeColor="text1"/>
          <w:sz w:val="22"/>
          <w:szCs w:val="22"/>
        </w:rPr>
        <w:t>l año anterior, mientras que se vendieron un total de 272,487 unidades, reflejando un notable aumento del 187% interanual. Además, agosto enmarcó la inclusión de Chery Holding Group, por primera vez, en la prestigiosa lista Fortune Global 500 de 2024, tras ocupar la posición 385.</w:t>
      </w:r>
      <w:r w:rsidRPr="762997B1">
        <w:rPr>
          <w:rFonts w:ascii="Arial" w:eastAsia="Arial" w:hAnsi="Arial" w:cs="Arial"/>
          <w:color w:val="05073B"/>
          <w:sz w:val="22"/>
          <w:szCs w:val="22"/>
        </w:rPr>
        <w:t xml:space="preserve"> </w:t>
      </w:r>
    </w:p>
    <w:p w14:paraId="49EA3BFC" w14:textId="18289C7E" w:rsidR="3F24A705" w:rsidRDefault="559B1527" w:rsidP="762997B1">
      <w:pPr>
        <w:spacing w:before="240" w:after="240"/>
        <w:jc w:val="both"/>
      </w:pPr>
      <w:r w:rsidRPr="762997B1">
        <w:rPr>
          <w:rFonts w:ascii="Arial" w:eastAsia="Arial" w:hAnsi="Arial" w:cs="Arial"/>
          <w:color w:val="000000" w:themeColor="text1"/>
          <w:sz w:val="22"/>
          <w:szCs w:val="22"/>
        </w:rPr>
        <w:lastRenderedPageBreak/>
        <w:t xml:space="preserve">Por otro lado, Chirey lanzó la selección global de campeones automotrices en mercados internacionales. Los ganadores tendrán la oportunidad de viajar a la sede de Grupo Chery en Wuhu, China, y participar en la cumbre internacional de usuarios de la marca en 2024. El propósito de este evento es reconocer a los destacados </w:t>
      </w:r>
      <w:r w:rsidRPr="762997B1">
        <w:rPr>
          <w:rFonts w:ascii="Arial" w:eastAsia="Arial" w:hAnsi="Arial" w:cs="Arial"/>
          <w:i/>
          <w:iCs/>
          <w:color w:val="000000" w:themeColor="text1"/>
          <w:sz w:val="22"/>
          <w:szCs w:val="22"/>
        </w:rPr>
        <w:t>key opinion consumers</w:t>
      </w:r>
      <w:r w:rsidRPr="762997B1">
        <w:rPr>
          <w:rFonts w:ascii="Arial" w:eastAsia="Arial" w:hAnsi="Arial" w:cs="Arial"/>
          <w:color w:val="000000" w:themeColor="text1"/>
          <w:sz w:val="22"/>
          <w:szCs w:val="22"/>
        </w:rPr>
        <w:t xml:space="preserve"> (KOC) del ámbito automotriz en cinco categorías: tráfico, recomendaciones, gestión de grupos, actividades de clubes y estilo de vida, lo que promueve la diversificación en la cultura automotriz.  </w:t>
      </w:r>
    </w:p>
    <w:p w14:paraId="6DB0AE4E" w14:textId="0D1C4B3B" w:rsidR="3F24A705" w:rsidRDefault="559B1527" w:rsidP="762997B1">
      <w:pPr>
        <w:spacing w:before="240" w:after="240"/>
        <w:jc w:val="both"/>
        <w:rPr>
          <w:rFonts w:ascii="Arial" w:eastAsia="Arial" w:hAnsi="Arial" w:cs="Arial"/>
          <w:color w:val="000000" w:themeColor="text1"/>
          <w:sz w:val="22"/>
          <w:szCs w:val="22"/>
        </w:rPr>
      </w:pPr>
      <w:r w:rsidRPr="762997B1">
        <w:rPr>
          <w:rFonts w:ascii="Arial" w:eastAsia="Arial" w:hAnsi="Arial" w:cs="Arial"/>
          <w:color w:val="000000" w:themeColor="text1"/>
          <w:sz w:val="22"/>
          <w:szCs w:val="22"/>
        </w:rPr>
        <w:t xml:space="preserve">De esta manera, Chirey continúa con su incesante aceleración en la innovación tecnológica, de servicio y </w:t>
      </w:r>
      <w:r w:rsidR="1396C50F" w:rsidRPr="762997B1">
        <w:rPr>
          <w:rFonts w:ascii="Arial" w:eastAsia="Arial" w:hAnsi="Arial" w:cs="Arial"/>
          <w:color w:val="000000" w:themeColor="text1"/>
          <w:sz w:val="22"/>
          <w:szCs w:val="22"/>
        </w:rPr>
        <w:t xml:space="preserve">sostenibilidad, con el objetivo de </w:t>
      </w:r>
      <w:r w:rsidRPr="762997B1">
        <w:rPr>
          <w:rFonts w:ascii="Arial" w:eastAsia="Arial" w:hAnsi="Arial" w:cs="Arial"/>
          <w:color w:val="000000" w:themeColor="text1"/>
          <w:sz w:val="22"/>
          <w:szCs w:val="22"/>
        </w:rPr>
        <w:t xml:space="preserve">aportar valor a los usuarios. </w:t>
      </w:r>
    </w:p>
    <w:p w14:paraId="575C0138" w14:textId="10BCC260" w:rsidR="627F5DBF" w:rsidRDefault="627F5DBF" w:rsidP="762997B1">
      <w:pPr>
        <w:widowControl w:val="0"/>
        <w:spacing w:line="259" w:lineRule="auto"/>
        <w:rPr>
          <w:rFonts w:ascii="Arial Nova" w:eastAsia="Arial Nova" w:hAnsi="Arial Nova" w:cs="Arial Nova"/>
          <w:color w:val="000000" w:themeColor="text1"/>
          <w:sz w:val="22"/>
          <w:szCs w:val="22"/>
        </w:rPr>
      </w:pPr>
      <w:r w:rsidRPr="762997B1">
        <w:rPr>
          <w:rFonts w:ascii="Arial Nova" w:eastAsia="Arial Nova" w:hAnsi="Arial Nova" w:cs="Arial Nova"/>
          <w:b/>
          <w:bCs/>
          <w:color w:val="000000" w:themeColor="text1"/>
          <w:sz w:val="22"/>
          <w:szCs w:val="22"/>
          <w:lang w:val="es-MX"/>
        </w:rPr>
        <w:t xml:space="preserve">Acerca de CHIREY </w:t>
      </w:r>
    </w:p>
    <w:p w14:paraId="7079869C" w14:textId="1DFBF93A" w:rsidR="627F5DBF" w:rsidRDefault="627F5DBF" w:rsidP="762997B1">
      <w:pPr>
        <w:widowControl w:val="0"/>
        <w:spacing w:line="259" w:lineRule="auto"/>
        <w:rPr>
          <w:rFonts w:ascii="Arial Nova" w:eastAsia="Arial Nova" w:hAnsi="Arial Nova" w:cs="Arial Nova"/>
          <w:color w:val="000000" w:themeColor="text1"/>
          <w:sz w:val="22"/>
          <w:szCs w:val="22"/>
        </w:rPr>
      </w:pPr>
      <w:r w:rsidRPr="762997B1">
        <w:rPr>
          <w:rFonts w:ascii="Arial Nova" w:eastAsia="Arial Nova" w:hAnsi="Arial Nova" w:cs="Arial Nova"/>
          <w:color w:val="000000" w:themeColor="text1"/>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14:paraId="1152A9F1" w14:textId="0B8B6CA3" w:rsidR="627F5DBF" w:rsidRDefault="627F5DBF" w:rsidP="762997B1">
      <w:pPr>
        <w:widowControl w:val="0"/>
        <w:spacing w:line="259" w:lineRule="auto"/>
        <w:ind w:left="15" w:firstLine="15"/>
        <w:jc w:val="both"/>
        <w:rPr>
          <w:rFonts w:ascii="Arial Nova" w:eastAsia="Arial Nova" w:hAnsi="Arial Nova" w:cs="Arial Nova"/>
          <w:color w:val="000000" w:themeColor="text1"/>
          <w:sz w:val="22"/>
          <w:szCs w:val="22"/>
        </w:rPr>
      </w:pPr>
      <w:r w:rsidRPr="762997B1">
        <w:rPr>
          <w:rFonts w:ascii="Arial Nova" w:eastAsia="Arial Nova" w:hAnsi="Arial Nova" w:cs="Arial Nova"/>
          <w:color w:val="000000" w:themeColor="text1"/>
          <w:sz w:val="22"/>
          <w:szCs w:val="22"/>
          <w:lang w:val="es-MX"/>
        </w:rPr>
        <w:t xml:space="preserve">CHIREY MOTOR MÉXICO es una subsidiaria de la empresa CHERY INTERNATIONAL. Para más información sobre la empresa, visite: </w:t>
      </w:r>
      <w:hyperlink r:id="rId9">
        <w:r w:rsidRPr="762997B1">
          <w:rPr>
            <w:rStyle w:val="Hipervnculo"/>
            <w:rFonts w:ascii="Arial Nova" w:eastAsia="Arial Nova" w:hAnsi="Arial Nova" w:cs="Arial Nova"/>
            <w:sz w:val="22"/>
            <w:szCs w:val="22"/>
            <w:lang w:val="es-MX"/>
          </w:rPr>
          <w:t>chirey.mx.</w:t>
        </w:r>
      </w:hyperlink>
    </w:p>
    <w:p w14:paraId="3ED36595" w14:textId="2D8D41F6" w:rsidR="627F5DBF" w:rsidRDefault="627F5DBF" w:rsidP="762997B1">
      <w:pPr>
        <w:widowControl w:val="0"/>
        <w:spacing w:line="259" w:lineRule="auto"/>
        <w:ind w:left="15" w:firstLine="15"/>
        <w:jc w:val="both"/>
        <w:rPr>
          <w:rFonts w:ascii="Arial Nova" w:eastAsia="Arial Nova" w:hAnsi="Arial Nova" w:cs="Arial Nova"/>
          <w:color w:val="000000" w:themeColor="text1"/>
          <w:sz w:val="22"/>
          <w:szCs w:val="22"/>
        </w:rPr>
      </w:pPr>
      <w:r w:rsidRPr="762997B1">
        <w:rPr>
          <w:rFonts w:ascii="Arial Nova" w:eastAsia="Arial Nova" w:hAnsi="Arial Nova" w:cs="Arial Nova"/>
          <w:b/>
          <w:bCs/>
          <w:color w:val="000000" w:themeColor="text1"/>
          <w:sz w:val="22"/>
          <w:szCs w:val="22"/>
          <w:lang w:val="es-MX"/>
        </w:rPr>
        <w:t>Contactos de prensa:</w:t>
      </w:r>
    </w:p>
    <w:p w14:paraId="205A4D8C" w14:textId="07FAE68C" w:rsidR="627F5DBF" w:rsidRPr="00967A1C" w:rsidRDefault="627F5DBF" w:rsidP="762997B1">
      <w:pPr>
        <w:widowControl w:val="0"/>
        <w:spacing w:after="0" w:line="259" w:lineRule="auto"/>
        <w:ind w:left="15"/>
        <w:jc w:val="both"/>
        <w:rPr>
          <w:rFonts w:ascii="Arial Nova" w:eastAsia="Arial Nova" w:hAnsi="Arial Nova" w:cs="Arial Nova"/>
          <w:color w:val="000000" w:themeColor="text1"/>
          <w:sz w:val="22"/>
          <w:szCs w:val="22"/>
          <w:lang w:val="en-US"/>
        </w:rPr>
      </w:pPr>
      <w:r w:rsidRPr="762997B1">
        <w:rPr>
          <w:rFonts w:ascii="Arial Nova" w:eastAsia="Arial Nova" w:hAnsi="Arial Nova" w:cs="Arial Nova"/>
          <w:color w:val="000000" w:themeColor="text1"/>
          <w:sz w:val="22"/>
          <w:szCs w:val="22"/>
          <w:lang w:val="en-US"/>
        </w:rPr>
        <w:t>Paola Ruiz</w:t>
      </w:r>
    </w:p>
    <w:p w14:paraId="32F685A5" w14:textId="01B1CC25" w:rsidR="627F5DBF" w:rsidRPr="00967A1C" w:rsidRDefault="627F5DBF" w:rsidP="762997B1">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762997B1">
        <w:rPr>
          <w:rFonts w:ascii="Arial Nova" w:eastAsia="Arial Nova" w:hAnsi="Arial Nova" w:cs="Arial Nova"/>
          <w:color w:val="000000" w:themeColor="text1"/>
          <w:sz w:val="22"/>
          <w:szCs w:val="22"/>
          <w:lang w:val="en-US"/>
        </w:rPr>
        <w:t>Senior Account Executive | Another Company</w:t>
      </w:r>
    </w:p>
    <w:p w14:paraId="57EE1763" w14:textId="139C8DB7" w:rsidR="627F5DBF" w:rsidRDefault="627F5DBF" w:rsidP="762997B1">
      <w:pPr>
        <w:widowControl w:val="0"/>
        <w:spacing w:after="0" w:line="259" w:lineRule="auto"/>
        <w:ind w:left="15" w:firstLine="15"/>
        <w:jc w:val="both"/>
        <w:rPr>
          <w:rFonts w:ascii="Arial Nova" w:eastAsia="Arial Nova" w:hAnsi="Arial Nova" w:cs="Arial Nova"/>
          <w:color w:val="000000" w:themeColor="text1"/>
          <w:sz w:val="22"/>
          <w:szCs w:val="22"/>
        </w:rPr>
      </w:pPr>
      <w:r w:rsidRPr="762997B1">
        <w:rPr>
          <w:rFonts w:ascii="Arial Nova" w:eastAsia="Arial Nova" w:hAnsi="Arial Nova" w:cs="Arial Nova"/>
          <w:color w:val="000000" w:themeColor="text1"/>
          <w:sz w:val="22"/>
          <w:szCs w:val="22"/>
          <w:lang w:val="es-MX"/>
        </w:rPr>
        <w:t>Cel. 55 85777630</w:t>
      </w:r>
    </w:p>
    <w:p w14:paraId="516BB2BB" w14:textId="66266D12" w:rsidR="627F5DBF" w:rsidRDefault="627F5DBF" w:rsidP="762997B1">
      <w:pPr>
        <w:widowControl w:val="0"/>
        <w:spacing w:after="0" w:line="259" w:lineRule="auto"/>
        <w:ind w:left="15" w:firstLine="15"/>
        <w:jc w:val="both"/>
        <w:rPr>
          <w:rFonts w:ascii="Arial Nova" w:eastAsia="Arial Nova" w:hAnsi="Arial Nova" w:cs="Arial Nova"/>
          <w:color w:val="000000" w:themeColor="text1"/>
          <w:sz w:val="22"/>
          <w:szCs w:val="22"/>
        </w:rPr>
      </w:pPr>
      <w:r w:rsidRPr="762997B1">
        <w:rPr>
          <w:rFonts w:ascii="Arial Nova" w:eastAsia="Arial Nova" w:hAnsi="Arial Nova" w:cs="Arial Nova"/>
          <w:color w:val="000000" w:themeColor="text1"/>
          <w:sz w:val="22"/>
          <w:szCs w:val="22"/>
          <w:lang w:val="es-MX"/>
        </w:rPr>
        <w:t xml:space="preserve">E-mail: </w:t>
      </w:r>
      <w:hyperlink r:id="rId10">
        <w:r w:rsidRPr="762997B1">
          <w:rPr>
            <w:rStyle w:val="Hipervnculo"/>
            <w:rFonts w:ascii="Arial Nova" w:eastAsia="Arial Nova" w:hAnsi="Arial Nova" w:cs="Arial Nova"/>
            <w:sz w:val="22"/>
            <w:szCs w:val="22"/>
            <w:lang w:val="es-MX"/>
          </w:rPr>
          <w:t>paola.ruiz@another.co</w:t>
        </w:r>
      </w:hyperlink>
    </w:p>
    <w:p w14:paraId="7C81ADA7" w14:textId="41910219" w:rsidR="3F24A705" w:rsidRDefault="3F24A705" w:rsidP="762997B1">
      <w:pPr>
        <w:widowControl w:val="0"/>
        <w:spacing w:after="0" w:line="259" w:lineRule="auto"/>
        <w:ind w:left="15" w:firstLine="15"/>
        <w:jc w:val="both"/>
        <w:rPr>
          <w:rFonts w:ascii="Arial Nova" w:eastAsia="Arial Nova" w:hAnsi="Arial Nova" w:cs="Arial Nova"/>
          <w:color w:val="000000" w:themeColor="text1"/>
          <w:sz w:val="22"/>
          <w:szCs w:val="22"/>
        </w:rPr>
      </w:pPr>
    </w:p>
    <w:p w14:paraId="35C57DA1" w14:textId="198CD950" w:rsidR="627F5DBF" w:rsidRDefault="627F5DBF" w:rsidP="762997B1">
      <w:pPr>
        <w:widowControl w:val="0"/>
        <w:spacing w:after="0" w:line="259" w:lineRule="auto"/>
        <w:ind w:left="15" w:firstLine="15"/>
        <w:jc w:val="both"/>
        <w:rPr>
          <w:rFonts w:ascii="Arial Nova" w:eastAsia="Arial Nova" w:hAnsi="Arial Nova" w:cs="Arial Nova"/>
          <w:color w:val="000000" w:themeColor="text1"/>
          <w:sz w:val="22"/>
          <w:szCs w:val="22"/>
        </w:rPr>
      </w:pPr>
      <w:r w:rsidRPr="762997B1">
        <w:rPr>
          <w:rFonts w:ascii="Arial Nova" w:eastAsia="Arial Nova" w:hAnsi="Arial Nova" w:cs="Arial Nova"/>
          <w:color w:val="000000" w:themeColor="text1"/>
          <w:sz w:val="22"/>
          <w:szCs w:val="22"/>
          <w:lang w:val="es-MX"/>
        </w:rPr>
        <w:t>Carlos Gutiérrez</w:t>
      </w:r>
    </w:p>
    <w:p w14:paraId="04D7E722" w14:textId="249EBE2C" w:rsidR="627F5DBF" w:rsidRPr="00967A1C" w:rsidRDefault="627F5DBF" w:rsidP="762997B1">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762997B1">
        <w:rPr>
          <w:rFonts w:ascii="Arial Nova" w:eastAsia="Arial Nova" w:hAnsi="Arial Nova" w:cs="Arial Nova"/>
          <w:color w:val="000000" w:themeColor="text1"/>
          <w:sz w:val="22"/>
          <w:szCs w:val="22"/>
          <w:lang w:val="en-US"/>
        </w:rPr>
        <w:t>Senior Account Executive | Another Company</w:t>
      </w:r>
    </w:p>
    <w:p w14:paraId="64A81939" w14:textId="6FE7F34A" w:rsidR="627F5DBF" w:rsidRPr="00967A1C" w:rsidRDefault="627F5DBF" w:rsidP="762997B1">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762997B1">
        <w:rPr>
          <w:rFonts w:ascii="Arial Nova" w:eastAsia="Arial Nova" w:hAnsi="Arial Nova" w:cs="Arial Nova"/>
          <w:color w:val="000000" w:themeColor="text1"/>
          <w:sz w:val="22"/>
          <w:szCs w:val="22"/>
          <w:lang w:val="en-US"/>
        </w:rPr>
        <w:t>Cel. 56 2666 1769</w:t>
      </w:r>
    </w:p>
    <w:p w14:paraId="39D2A917" w14:textId="156FDE9C" w:rsidR="627F5DBF" w:rsidRDefault="627F5DBF" w:rsidP="762997B1">
      <w:pPr>
        <w:widowControl w:val="0"/>
        <w:spacing w:after="0" w:line="259" w:lineRule="auto"/>
        <w:ind w:left="15" w:firstLine="15"/>
        <w:jc w:val="both"/>
        <w:rPr>
          <w:rFonts w:ascii="Arial Nova" w:eastAsia="Arial Nova" w:hAnsi="Arial Nova" w:cs="Arial Nova"/>
          <w:color w:val="000000" w:themeColor="text1"/>
          <w:sz w:val="22"/>
          <w:szCs w:val="22"/>
        </w:rPr>
      </w:pPr>
      <w:r w:rsidRPr="762997B1">
        <w:rPr>
          <w:rFonts w:ascii="Arial Nova" w:eastAsia="Arial Nova" w:hAnsi="Arial Nova" w:cs="Arial Nova"/>
          <w:color w:val="000000" w:themeColor="text1"/>
          <w:sz w:val="22"/>
          <w:szCs w:val="22"/>
          <w:lang w:val="en-US"/>
        </w:rPr>
        <w:t xml:space="preserve">E-mail: </w:t>
      </w:r>
      <w:hyperlink r:id="rId11">
        <w:r w:rsidRPr="762997B1">
          <w:rPr>
            <w:rStyle w:val="Hipervnculo"/>
            <w:rFonts w:ascii="Arial Nova" w:eastAsia="Arial Nova" w:hAnsi="Arial Nova" w:cs="Arial Nova"/>
            <w:sz w:val="22"/>
            <w:szCs w:val="22"/>
            <w:lang w:val="en-US"/>
          </w:rPr>
          <w:t>carlos.gutierrez@another.co</w:t>
        </w:r>
      </w:hyperlink>
    </w:p>
    <w:p w14:paraId="6433C6EA" w14:textId="39C2F599" w:rsidR="3F24A705" w:rsidRDefault="3F24A705" w:rsidP="3F24A705">
      <w:pPr>
        <w:rPr>
          <w:rFonts w:ascii="Calibri" w:eastAsia="Calibri" w:hAnsi="Calibri" w:cs="Calibri"/>
          <w:b/>
          <w:bCs/>
          <w:color w:val="000000" w:themeColor="text1"/>
          <w:sz w:val="22"/>
          <w:szCs w:val="22"/>
        </w:rPr>
      </w:pPr>
    </w:p>
    <w:sectPr w:rsidR="3F24A7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yV7kdomgquxww+" int2:id="OZIyCcjk">
      <int2:state int2:value="Rejected" int2:type="AugLoop_Text_Critique"/>
    </int2:textHash>
    <int2:textHash int2:hashCode="GJ4SiavlwHVEnG" int2:id="KXBN6XJL">
      <int2:state int2:value="Rejected" int2:type="AugLoop_Text_Critique"/>
    </int2:textHash>
    <int2:textHash int2:hashCode="A4RQvi2ShBKzYi" int2:id="zrgnL3JQ">
      <int2:state int2:value="Rejected" int2:type="AugLoop_Text_Critique"/>
    </int2:textHash>
    <int2:textHash int2:hashCode="5ijaVSt1nNB+go" int2:id="h8olgJ3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59D0"/>
    <w:multiLevelType w:val="hybridMultilevel"/>
    <w:tmpl w:val="F25C5404"/>
    <w:lvl w:ilvl="0" w:tplc="9F2AAD76">
      <w:start w:val="1"/>
      <w:numFmt w:val="bullet"/>
      <w:lvlText w:val=""/>
      <w:lvlJc w:val="left"/>
      <w:pPr>
        <w:ind w:left="720" w:hanging="360"/>
      </w:pPr>
      <w:rPr>
        <w:rFonts w:ascii="Symbol" w:hAnsi="Symbol" w:hint="default"/>
      </w:rPr>
    </w:lvl>
    <w:lvl w:ilvl="1" w:tplc="0FBC022A">
      <w:start w:val="1"/>
      <w:numFmt w:val="bullet"/>
      <w:lvlText w:val="o"/>
      <w:lvlJc w:val="left"/>
      <w:pPr>
        <w:ind w:left="1440" w:hanging="360"/>
      </w:pPr>
      <w:rPr>
        <w:rFonts w:ascii="Courier New" w:hAnsi="Courier New" w:hint="default"/>
      </w:rPr>
    </w:lvl>
    <w:lvl w:ilvl="2" w:tplc="422C0BB4">
      <w:start w:val="1"/>
      <w:numFmt w:val="bullet"/>
      <w:lvlText w:val=""/>
      <w:lvlJc w:val="left"/>
      <w:pPr>
        <w:ind w:left="2160" w:hanging="360"/>
      </w:pPr>
      <w:rPr>
        <w:rFonts w:ascii="Wingdings" w:hAnsi="Wingdings" w:hint="default"/>
      </w:rPr>
    </w:lvl>
    <w:lvl w:ilvl="3" w:tplc="56AEA52C">
      <w:start w:val="1"/>
      <w:numFmt w:val="bullet"/>
      <w:lvlText w:val=""/>
      <w:lvlJc w:val="left"/>
      <w:pPr>
        <w:ind w:left="2880" w:hanging="360"/>
      </w:pPr>
      <w:rPr>
        <w:rFonts w:ascii="Symbol" w:hAnsi="Symbol" w:hint="default"/>
      </w:rPr>
    </w:lvl>
    <w:lvl w:ilvl="4" w:tplc="0A8E273E">
      <w:start w:val="1"/>
      <w:numFmt w:val="bullet"/>
      <w:lvlText w:val="o"/>
      <w:lvlJc w:val="left"/>
      <w:pPr>
        <w:ind w:left="3600" w:hanging="360"/>
      </w:pPr>
      <w:rPr>
        <w:rFonts w:ascii="Courier New" w:hAnsi="Courier New" w:hint="default"/>
      </w:rPr>
    </w:lvl>
    <w:lvl w:ilvl="5" w:tplc="0324C3F2">
      <w:start w:val="1"/>
      <w:numFmt w:val="bullet"/>
      <w:lvlText w:val=""/>
      <w:lvlJc w:val="left"/>
      <w:pPr>
        <w:ind w:left="4320" w:hanging="360"/>
      </w:pPr>
      <w:rPr>
        <w:rFonts w:ascii="Wingdings" w:hAnsi="Wingdings" w:hint="default"/>
      </w:rPr>
    </w:lvl>
    <w:lvl w:ilvl="6" w:tplc="B99E9C8E">
      <w:start w:val="1"/>
      <w:numFmt w:val="bullet"/>
      <w:lvlText w:val=""/>
      <w:lvlJc w:val="left"/>
      <w:pPr>
        <w:ind w:left="5040" w:hanging="360"/>
      </w:pPr>
      <w:rPr>
        <w:rFonts w:ascii="Symbol" w:hAnsi="Symbol" w:hint="default"/>
      </w:rPr>
    </w:lvl>
    <w:lvl w:ilvl="7" w:tplc="69CC20C0">
      <w:start w:val="1"/>
      <w:numFmt w:val="bullet"/>
      <w:lvlText w:val="o"/>
      <w:lvlJc w:val="left"/>
      <w:pPr>
        <w:ind w:left="5760" w:hanging="360"/>
      </w:pPr>
      <w:rPr>
        <w:rFonts w:ascii="Courier New" w:hAnsi="Courier New" w:hint="default"/>
      </w:rPr>
    </w:lvl>
    <w:lvl w:ilvl="8" w:tplc="C6E0027E">
      <w:start w:val="1"/>
      <w:numFmt w:val="bullet"/>
      <w:lvlText w:val=""/>
      <w:lvlJc w:val="left"/>
      <w:pPr>
        <w:ind w:left="6480" w:hanging="360"/>
      </w:pPr>
      <w:rPr>
        <w:rFonts w:ascii="Wingdings" w:hAnsi="Wingdings" w:hint="default"/>
      </w:rPr>
    </w:lvl>
  </w:abstractNum>
  <w:abstractNum w:abstractNumId="1" w15:restartNumberingAfterBreak="0">
    <w:nsid w:val="54437A97"/>
    <w:multiLevelType w:val="hybridMultilevel"/>
    <w:tmpl w:val="BB7CF660"/>
    <w:lvl w:ilvl="0" w:tplc="7714AC72">
      <w:start w:val="1"/>
      <w:numFmt w:val="bullet"/>
      <w:lvlText w:val=""/>
      <w:lvlJc w:val="left"/>
      <w:pPr>
        <w:ind w:left="720" w:hanging="360"/>
      </w:pPr>
      <w:rPr>
        <w:rFonts w:ascii="Symbol" w:hAnsi="Symbol" w:hint="default"/>
      </w:rPr>
    </w:lvl>
    <w:lvl w:ilvl="1" w:tplc="39E8E022">
      <w:start w:val="1"/>
      <w:numFmt w:val="bullet"/>
      <w:lvlText w:val="o"/>
      <w:lvlJc w:val="left"/>
      <w:pPr>
        <w:ind w:left="1440" w:hanging="360"/>
      </w:pPr>
      <w:rPr>
        <w:rFonts w:ascii="Courier New" w:hAnsi="Courier New" w:hint="default"/>
      </w:rPr>
    </w:lvl>
    <w:lvl w:ilvl="2" w:tplc="2A8E01B0">
      <w:start w:val="1"/>
      <w:numFmt w:val="bullet"/>
      <w:lvlText w:val=""/>
      <w:lvlJc w:val="left"/>
      <w:pPr>
        <w:ind w:left="2160" w:hanging="360"/>
      </w:pPr>
      <w:rPr>
        <w:rFonts w:ascii="Wingdings" w:hAnsi="Wingdings" w:hint="default"/>
      </w:rPr>
    </w:lvl>
    <w:lvl w:ilvl="3" w:tplc="1E946A78">
      <w:start w:val="1"/>
      <w:numFmt w:val="bullet"/>
      <w:lvlText w:val=""/>
      <w:lvlJc w:val="left"/>
      <w:pPr>
        <w:ind w:left="2880" w:hanging="360"/>
      </w:pPr>
      <w:rPr>
        <w:rFonts w:ascii="Symbol" w:hAnsi="Symbol" w:hint="default"/>
      </w:rPr>
    </w:lvl>
    <w:lvl w:ilvl="4" w:tplc="DC8C62CC">
      <w:start w:val="1"/>
      <w:numFmt w:val="bullet"/>
      <w:lvlText w:val="o"/>
      <w:lvlJc w:val="left"/>
      <w:pPr>
        <w:ind w:left="3600" w:hanging="360"/>
      </w:pPr>
      <w:rPr>
        <w:rFonts w:ascii="Courier New" w:hAnsi="Courier New" w:hint="default"/>
      </w:rPr>
    </w:lvl>
    <w:lvl w:ilvl="5" w:tplc="888E16DE">
      <w:start w:val="1"/>
      <w:numFmt w:val="bullet"/>
      <w:lvlText w:val=""/>
      <w:lvlJc w:val="left"/>
      <w:pPr>
        <w:ind w:left="4320" w:hanging="360"/>
      </w:pPr>
      <w:rPr>
        <w:rFonts w:ascii="Wingdings" w:hAnsi="Wingdings" w:hint="default"/>
      </w:rPr>
    </w:lvl>
    <w:lvl w:ilvl="6" w:tplc="A496AD04">
      <w:start w:val="1"/>
      <w:numFmt w:val="bullet"/>
      <w:lvlText w:val=""/>
      <w:lvlJc w:val="left"/>
      <w:pPr>
        <w:ind w:left="5040" w:hanging="360"/>
      </w:pPr>
      <w:rPr>
        <w:rFonts w:ascii="Symbol" w:hAnsi="Symbol" w:hint="default"/>
      </w:rPr>
    </w:lvl>
    <w:lvl w:ilvl="7" w:tplc="DE90D978">
      <w:start w:val="1"/>
      <w:numFmt w:val="bullet"/>
      <w:lvlText w:val="o"/>
      <w:lvlJc w:val="left"/>
      <w:pPr>
        <w:ind w:left="5760" w:hanging="360"/>
      </w:pPr>
      <w:rPr>
        <w:rFonts w:ascii="Courier New" w:hAnsi="Courier New" w:hint="default"/>
      </w:rPr>
    </w:lvl>
    <w:lvl w:ilvl="8" w:tplc="624A0AEA">
      <w:start w:val="1"/>
      <w:numFmt w:val="bullet"/>
      <w:lvlText w:val=""/>
      <w:lvlJc w:val="left"/>
      <w:pPr>
        <w:ind w:left="6480" w:hanging="360"/>
      </w:pPr>
      <w:rPr>
        <w:rFonts w:ascii="Wingdings" w:hAnsi="Wingdings" w:hint="default"/>
      </w:rPr>
    </w:lvl>
  </w:abstractNum>
  <w:num w:numId="1" w16cid:durableId="548151561">
    <w:abstractNumId w:val="1"/>
  </w:num>
  <w:num w:numId="2" w16cid:durableId="130785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9D8138"/>
    <w:rsid w:val="00305783"/>
    <w:rsid w:val="00557BAF"/>
    <w:rsid w:val="00612CEA"/>
    <w:rsid w:val="00967A1C"/>
    <w:rsid w:val="023F479A"/>
    <w:rsid w:val="035C8517"/>
    <w:rsid w:val="03F83EEB"/>
    <w:rsid w:val="05A6BC74"/>
    <w:rsid w:val="09087BDA"/>
    <w:rsid w:val="09665A43"/>
    <w:rsid w:val="0A58313A"/>
    <w:rsid w:val="0A945FC2"/>
    <w:rsid w:val="0AE60A1F"/>
    <w:rsid w:val="0B2F3064"/>
    <w:rsid w:val="0C9A3595"/>
    <w:rsid w:val="0E7D45AA"/>
    <w:rsid w:val="0F617821"/>
    <w:rsid w:val="0F7154B5"/>
    <w:rsid w:val="109D8138"/>
    <w:rsid w:val="10EC06E8"/>
    <w:rsid w:val="11AF0A87"/>
    <w:rsid w:val="11F760EB"/>
    <w:rsid w:val="12229464"/>
    <w:rsid w:val="1396C50F"/>
    <w:rsid w:val="13B10A1C"/>
    <w:rsid w:val="15CC5099"/>
    <w:rsid w:val="1770F760"/>
    <w:rsid w:val="1B2BDF49"/>
    <w:rsid w:val="1D700A2D"/>
    <w:rsid w:val="1FE107B8"/>
    <w:rsid w:val="23CCCA67"/>
    <w:rsid w:val="241C15CB"/>
    <w:rsid w:val="244C0FD6"/>
    <w:rsid w:val="24E0FEE8"/>
    <w:rsid w:val="259008D2"/>
    <w:rsid w:val="28033901"/>
    <w:rsid w:val="28C1A83F"/>
    <w:rsid w:val="28C372F7"/>
    <w:rsid w:val="28D9E10D"/>
    <w:rsid w:val="2B02CB8D"/>
    <w:rsid w:val="2FBDEA71"/>
    <w:rsid w:val="3094F478"/>
    <w:rsid w:val="32A800AE"/>
    <w:rsid w:val="34AF670B"/>
    <w:rsid w:val="34C059BA"/>
    <w:rsid w:val="34C2B8FC"/>
    <w:rsid w:val="38CA1ABF"/>
    <w:rsid w:val="3A201F1D"/>
    <w:rsid w:val="3F24A705"/>
    <w:rsid w:val="3F84421F"/>
    <w:rsid w:val="42146914"/>
    <w:rsid w:val="42C287F9"/>
    <w:rsid w:val="42D9F8CE"/>
    <w:rsid w:val="4406A25C"/>
    <w:rsid w:val="457AD4C6"/>
    <w:rsid w:val="45A73737"/>
    <w:rsid w:val="463D369F"/>
    <w:rsid w:val="464EA1EF"/>
    <w:rsid w:val="4A13F5F2"/>
    <w:rsid w:val="54AD119E"/>
    <w:rsid w:val="559B1527"/>
    <w:rsid w:val="57156109"/>
    <w:rsid w:val="571B196A"/>
    <w:rsid w:val="57947FF9"/>
    <w:rsid w:val="5CE77AF8"/>
    <w:rsid w:val="61059864"/>
    <w:rsid w:val="627F5DBF"/>
    <w:rsid w:val="63D5D378"/>
    <w:rsid w:val="63E70A49"/>
    <w:rsid w:val="67E90BB4"/>
    <w:rsid w:val="69582A4F"/>
    <w:rsid w:val="6A087F9D"/>
    <w:rsid w:val="6A4BEC60"/>
    <w:rsid w:val="6AF3A8EF"/>
    <w:rsid w:val="6B851F36"/>
    <w:rsid w:val="6BFCD4B0"/>
    <w:rsid w:val="6D8F2E3F"/>
    <w:rsid w:val="6FE4D5B9"/>
    <w:rsid w:val="72A3797D"/>
    <w:rsid w:val="72FCA100"/>
    <w:rsid w:val="73A46C4E"/>
    <w:rsid w:val="73D6285F"/>
    <w:rsid w:val="762997B1"/>
    <w:rsid w:val="7B6E69B5"/>
    <w:rsid w:val="7B749CF1"/>
    <w:rsid w:val="7D9AD7E0"/>
    <w:rsid w:val="7EABD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8138"/>
  <w15:chartTrackingRefBased/>
  <w15:docId w15:val="{D2A3683F-271B-43AA-BB0A-0CC6F60A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rey.m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os.gutierrez@another.co" TargetMode="External"/><Relationship Id="rId5" Type="http://schemas.openxmlformats.org/officeDocument/2006/relationships/styles" Target="styles.xml"/><Relationship Id="rId10" Type="http://schemas.openxmlformats.org/officeDocument/2006/relationships/hyperlink" Target="mailto:paola.ruiz@another.co" TargetMode="External"/><Relationship Id="rId4" Type="http://schemas.openxmlformats.org/officeDocument/2006/relationships/numbering" Target="numbering.xml"/><Relationship Id="rId9" Type="http://schemas.openxmlformats.org/officeDocument/2006/relationships/hyperlink" Target="https://www.chirey.mx/"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701291-B438-44AD-8380-1E7F0FF56D1E}">
  <ds:schemaRefs>
    <ds:schemaRef ds:uri="http://schemas.microsoft.com/sharepoint/v3/contenttype/forms"/>
  </ds:schemaRefs>
</ds:datastoreItem>
</file>

<file path=customXml/itemProps2.xml><?xml version="1.0" encoding="utf-8"?>
<ds:datastoreItem xmlns:ds="http://schemas.openxmlformats.org/officeDocument/2006/customXml" ds:itemID="{90D57B72-FE83-4C72-A7D1-0F192F013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8339A-7B26-433D-9FB1-B4CC6C990556}">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3499</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Arely Romero</cp:lastModifiedBy>
  <cp:revision>2</cp:revision>
  <dcterms:created xsi:type="dcterms:W3CDTF">2024-09-05T15:04:00Z</dcterms:created>
  <dcterms:modified xsi:type="dcterms:W3CDTF">2024-09-17T15:51:00Z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